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D467D6" w:rsidRPr="00041F12" w14:paraId="0CC33BF0" w14:textId="77777777" w:rsidTr="006F1B93">
        <w:tc>
          <w:tcPr>
            <w:tcW w:w="1396" w:type="pct"/>
            <w:shd w:val="clear" w:color="auto" w:fill="FFFFFF"/>
          </w:tcPr>
          <w:p w14:paraId="7933539D" w14:textId="77777777" w:rsidR="00D467D6" w:rsidRPr="00041F12" w:rsidRDefault="00D467D6" w:rsidP="006F1B93">
            <w:pPr>
              <w:jc w:val="right"/>
            </w:pPr>
            <w:r w:rsidRPr="00041F12">
              <w:rPr>
                <w:noProof/>
                <w:lang w:eastAsia="pl-PL"/>
              </w:rPr>
              <w:drawing>
                <wp:inline distT="0" distB="0" distL="0" distR="0" wp14:anchorId="38DF18EA" wp14:editId="61CBA1B9">
                  <wp:extent cx="1295400" cy="5524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inline>
              </w:drawing>
            </w:r>
          </w:p>
        </w:tc>
        <w:tc>
          <w:tcPr>
            <w:tcW w:w="1832" w:type="pct"/>
            <w:shd w:val="clear" w:color="auto" w:fill="FFFFFF"/>
          </w:tcPr>
          <w:p w14:paraId="411BB20F" w14:textId="77777777" w:rsidR="00D467D6" w:rsidRPr="00041F12" w:rsidRDefault="00D467D6" w:rsidP="006F1B93">
            <w:pPr>
              <w:jc w:val="right"/>
            </w:pPr>
            <w:r w:rsidRPr="00041F12">
              <w:t xml:space="preserve">             </w:t>
            </w:r>
            <w:r w:rsidRPr="00041F12">
              <w:rPr>
                <w:noProof/>
                <w:lang w:eastAsia="pl-PL"/>
              </w:rPr>
              <w:drawing>
                <wp:inline distT="0" distB="0" distL="0" distR="0" wp14:anchorId="5C081271" wp14:editId="3CB869E5">
                  <wp:extent cx="1209675" cy="55245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552450"/>
                          </a:xfrm>
                          <a:prstGeom prst="rect">
                            <a:avLst/>
                          </a:prstGeom>
                          <a:noFill/>
                          <a:ln>
                            <a:noFill/>
                          </a:ln>
                        </pic:spPr>
                      </pic:pic>
                    </a:graphicData>
                  </a:graphic>
                </wp:inline>
              </w:drawing>
            </w:r>
          </w:p>
        </w:tc>
        <w:tc>
          <w:tcPr>
            <w:tcW w:w="1772" w:type="pct"/>
            <w:shd w:val="clear" w:color="auto" w:fill="FFFFFF"/>
          </w:tcPr>
          <w:p w14:paraId="5E8AC562" w14:textId="77777777" w:rsidR="00D467D6" w:rsidRPr="00041F12" w:rsidRDefault="00D467D6" w:rsidP="006F1B93">
            <w:pPr>
              <w:jc w:val="right"/>
            </w:pPr>
            <w:r w:rsidRPr="00041F12">
              <w:t xml:space="preserve">   </w:t>
            </w:r>
            <w:r w:rsidRPr="00041F12">
              <w:rPr>
                <w:noProof/>
                <w:lang w:eastAsia="pl-PL"/>
              </w:rPr>
              <w:drawing>
                <wp:inline distT="0" distB="0" distL="0" distR="0" wp14:anchorId="09C33ECD" wp14:editId="224CF253">
                  <wp:extent cx="1828800" cy="5524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552450"/>
                          </a:xfrm>
                          <a:prstGeom prst="rect">
                            <a:avLst/>
                          </a:prstGeom>
                          <a:noFill/>
                          <a:ln>
                            <a:noFill/>
                          </a:ln>
                        </pic:spPr>
                      </pic:pic>
                    </a:graphicData>
                  </a:graphic>
                </wp:inline>
              </w:drawing>
            </w:r>
          </w:p>
        </w:tc>
      </w:tr>
    </w:tbl>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015183E6"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863EB7">
        <w:rPr>
          <w:rFonts w:ascii="Arial" w:hAnsi="Arial" w:cs="Arial"/>
          <w:b/>
          <w:sz w:val="20"/>
          <w:szCs w:val="20"/>
        </w:rPr>
        <w:t>4</w:t>
      </w:r>
      <w:r w:rsidR="00400B02">
        <w:rPr>
          <w:rFonts w:ascii="Arial" w:hAnsi="Arial" w:cs="Arial"/>
          <w:b/>
          <w:sz w:val="20"/>
          <w:szCs w:val="20"/>
        </w:rPr>
        <w:t>.2021</w:t>
      </w:r>
      <w:r w:rsidR="000E73CE">
        <w:rPr>
          <w:rFonts w:ascii="Arial" w:hAnsi="Arial" w:cs="Arial"/>
          <w:b/>
          <w:sz w:val="20"/>
          <w:szCs w:val="20"/>
        </w:rPr>
        <w:t>.RPOWŚ</w:t>
      </w:r>
    </w:p>
    <w:p w14:paraId="10E72403" w14:textId="6C4ECF22"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035E37" w:rsidRPr="002D576A">
        <w:rPr>
          <w:rFonts w:ascii="Arial" w:hAnsi="Arial" w:cs="Arial"/>
          <w:b/>
          <w:sz w:val="20"/>
        </w:rPr>
        <w:t>1</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B6059F1"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(Dz. U. z 2019r.,  poz. 2019 z </w:t>
      </w:r>
      <w:proofErr w:type="spellStart"/>
      <w:r w:rsidR="00872FF1" w:rsidRPr="002D576A">
        <w:rPr>
          <w:rFonts w:ascii="Arial" w:hAnsi="Arial" w:cs="Arial"/>
          <w:i/>
          <w:sz w:val="20"/>
        </w:rPr>
        <w:t>późn</w:t>
      </w:r>
      <w:proofErr w:type="spellEnd"/>
      <w:r w:rsidR="00872FF1" w:rsidRPr="002D576A">
        <w:rPr>
          <w:rFonts w:ascii="Arial" w:hAnsi="Arial" w:cs="Arial"/>
          <w:i/>
          <w:sz w:val="20"/>
        </w:rPr>
        <w:t>.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262531E3"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863EB7" w:rsidRPr="00863EB7">
        <w:rPr>
          <w:rFonts w:ascii="Arial" w:hAnsi="Arial" w:cs="Arial"/>
          <w:b/>
          <w:bCs/>
          <w:sz w:val="20"/>
          <w:szCs w:val="20"/>
        </w:rPr>
        <w:t>Utwardzenie powierzchni gruntu na działce nr 613/1 przy cmentarzu w Fałkowie-Etap 1</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bookmarkStart w:id="0" w:name="_GoBack"/>
      <w:bookmarkEnd w:id="0"/>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65711828"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863EB7">
        <w:rPr>
          <w:rFonts w:ascii="Arial" w:hAnsi="Arial" w:cs="Arial"/>
          <w:b/>
          <w:bCs/>
          <w:sz w:val="20"/>
          <w:szCs w:val="20"/>
        </w:rPr>
        <w:t>30</w:t>
      </w:r>
      <w:r w:rsidR="00966845" w:rsidRPr="00966845">
        <w:rPr>
          <w:rFonts w:ascii="Arial" w:hAnsi="Arial" w:cs="Arial"/>
          <w:b/>
          <w:bCs/>
          <w:sz w:val="20"/>
          <w:szCs w:val="20"/>
        </w:rPr>
        <w:t xml:space="preserve"> dni kalendarzowych</w:t>
      </w:r>
      <w:r w:rsidR="00966845">
        <w:rPr>
          <w:rFonts w:ascii="Arial" w:hAnsi="Arial" w:cs="Arial"/>
          <w:sz w:val="20"/>
          <w:szCs w:val="20"/>
        </w:rPr>
        <w:t xml:space="preserve"> </w:t>
      </w:r>
      <w:r w:rsidR="00B91B78" w:rsidRPr="002D576A">
        <w:rPr>
          <w:rFonts w:ascii="Arial" w:hAnsi="Arial" w:cs="Arial"/>
          <w:color w:val="FF0000"/>
          <w:sz w:val="20"/>
          <w:szCs w:val="20"/>
        </w:rPr>
        <w:t xml:space="preserve"> </w:t>
      </w:r>
      <w:r w:rsidR="00B91B78" w:rsidRPr="002D576A">
        <w:rPr>
          <w:rFonts w:ascii="Arial" w:hAnsi="Arial" w:cs="Arial"/>
          <w:sz w:val="20"/>
          <w:szCs w:val="20"/>
        </w:rPr>
        <w:t xml:space="preserve">od daty </w:t>
      </w:r>
      <w:r w:rsidR="00B91B78" w:rsidRPr="002D576A">
        <w:rPr>
          <w:rFonts w:ascii="Arial" w:hAnsi="Arial" w:cs="Arial"/>
          <w:sz w:val="20"/>
          <w:szCs w:val="20"/>
        </w:rPr>
        <w:lastRenderedPageBreak/>
        <w:t>podpisania niniejszej umowy</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oraz dokonaniem</w:t>
      </w:r>
      <w:r w:rsidR="008A3EEB" w:rsidRPr="002D576A">
        <w:rPr>
          <w:rFonts w:ascii="Arial" w:hAnsi="Arial" w:cs="Arial"/>
          <w:sz w:val="20"/>
          <w:szCs w:val="20"/>
        </w:rPr>
        <w:t xml:space="preserve"> czynności</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1FA60E3E"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ym będą mogły podlegać każdy z e</w:t>
      </w:r>
      <w:r w:rsidRPr="00DB164F">
        <w:rPr>
          <w:rFonts w:ascii="Arial" w:hAnsi="Arial" w:cs="Arial"/>
          <w:sz w:val="20"/>
        </w:rPr>
        <w:t>tapów przedmiotu zamówienia, a Wykonawca będzie miał prawo po ich odbiorze, wyst</w:t>
      </w:r>
      <w:r>
        <w:rPr>
          <w:rFonts w:ascii="Arial" w:hAnsi="Arial" w:cs="Arial"/>
          <w:sz w:val="20"/>
        </w:rPr>
        <w:t>awić faktury za każdy wykonany e</w:t>
      </w:r>
      <w:r w:rsidRPr="00DB164F">
        <w:rPr>
          <w:rFonts w:ascii="Arial" w:hAnsi="Arial" w:cs="Arial"/>
          <w:sz w:val="20"/>
        </w:rPr>
        <w:t>tap prac</w:t>
      </w:r>
      <w:r>
        <w:rPr>
          <w:rFonts w:ascii="Arial" w:hAnsi="Arial" w:cs="Arial"/>
          <w:sz w:val="20"/>
        </w:rPr>
        <w:t xml:space="preserve"> nie częściej niż raz na miesiąc</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 xml:space="preserve">we wskazanym </w:t>
      </w:r>
      <w:r w:rsidR="00A61A0A" w:rsidRPr="002D576A">
        <w:rPr>
          <w:rFonts w:ascii="Arial" w:hAnsi="Arial" w:cs="Arial"/>
          <w:sz w:val="20"/>
        </w:rPr>
        <w:lastRenderedPageBreak/>
        <w:t>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 xml:space="preserve">w trybie awaryjnym – niezwłocznie jednak nie dłużej niż w terminie 3 dni liczonych od dnia </w:t>
      </w:r>
      <w:r w:rsidRPr="002D576A">
        <w:rPr>
          <w:rFonts w:ascii="Arial" w:hAnsi="Arial" w:cs="Arial"/>
          <w:sz w:val="20"/>
        </w:rPr>
        <w:lastRenderedPageBreak/>
        <w:t>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6DFE2A1F"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 xml:space="preserve">Rozliczanie finansowe robót nastąpi po wykonaniu całości lub części robót. </w:t>
      </w:r>
      <w:r w:rsidRPr="00DB164F">
        <w:rPr>
          <w:rFonts w:ascii="Arial" w:hAnsi="Arial" w:cs="Arial"/>
          <w:sz w:val="20"/>
        </w:rPr>
        <w:t xml:space="preserve">Rozliczenie za wykonane roboty nastąpi w oparciu o fakturę/y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 xml:space="preserve">W przypadku zamiaru złożenia ustrukturyzowanej faktury Wykonawca  proszony jest o </w:t>
      </w:r>
      <w:r w:rsidR="00DB164F" w:rsidRPr="00DB164F">
        <w:rPr>
          <w:rFonts w:ascii="Arial" w:hAnsi="Arial" w:cs="Arial"/>
          <w:sz w:val="20"/>
        </w:rPr>
        <w:lastRenderedPageBreak/>
        <w:t>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 xml:space="preserve">Odpowiedzialność Zamawiającego za zapłatę podwykonawcom i dalszym podwykonawcom </w:t>
      </w:r>
      <w:r w:rsidR="00311B32" w:rsidRPr="002D576A">
        <w:rPr>
          <w:rFonts w:ascii="Arial" w:hAnsi="Arial" w:cs="Arial"/>
          <w:sz w:val="20"/>
        </w:rPr>
        <w:lastRenderedPageBreak/>
        <w:t>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lastRenderedPageBreak/>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lastRenderedPageBreak/>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lastRenderedPageBreak/>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lastRenderedPageBreak/>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lastRenderedPageBreak/>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w:t>
      </w:r>
      <w:r w:rsidRPr="002D576A">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lastRenderedPageBreak/>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 xml:space="preserve">wprowadzania utworów do pamięci komputera na dowolnej liczbie stanowisk komputerowych </w:t>
      </w:r>
      <w:r w:rsidRPr="002D576A">
        <w:rPr>
          <w:rFonts w:ascii="Arial" w:hAnsi="Arial" w:cs="Arial"/>
          <w:sz w:val="20"/>
        </w:rPr>
        <w:lastRenderedPageBreak/>
        <w:t>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11"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DEDB3" w14:textId="77777777" w:rsidR="002B02AA" w:rsidRDefault="002B02AA" w:rsidP="00FE080A">
      <w:pPr>
        <w:spacing w:after="0" w:line="240" w:lineRule="auto"/>
      </w:pPr>
      <w:r>
        <w:separator/>
      </w:r>
    </w:p>
  </w:endnote>
  <w:endnote w:type="continuationSeparator" w:id="0">
    <w:p w14:paraId="12984910" w14:textId="77777777" w:rsidR="002B02AA" w:rsidRDefault="002B02AA"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EB75B" w14:textId="77777777" w:rsidR="002B02AA" w:rsidRDefault="002B02AA" w:rsidP="00FE080A">
      <w:pPr>
        <w:spacing w:after="0" w:line="240" w:lineRule="auto"/>
      </w:pPr>
      <w:r>
        <w:separator/>
      </w:r>
    </w:p>
  </w:footnote>
  <w:footnote w:type="continuationSeparator" w:id="0">
    <w:p w14:paraId="5F053C64" w14:textId="77777777" w:rsidR="002B02AA" w:rsidRDefault="002B02AA"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8374</Words>
  <Characters>50244</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6</cp:revision>
  <cp:lastPrinted>2021-04-23T08:34:00Z</cp:lastPrinted>
  <dcterms:created xsi:type="dcterms:W3CDTF">2021-07-09T08:46:00Z</dcterms:created>
  <dcterms:modified xsi:type="dcterms:W3CDTF">2021-10-04T17:05:00Z</dcterms:modified>
</cp:coreProperties>
</file>